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5C0B" w14:textId="69931B05" w:rsidR="00AE72FB" w:rsidRPr="002B6D72" w:rsidRDefault="00201806" w:rsidP="00201806">
      <w:pPr>
        <w:jc w:val="center"/>
        <w:rPr>
          <w:b/>
          <w:sz w:val="28"/>
        </w:rPr>
      </w:pPr>
      <w:r w:rsidRPr="002B6D72">
        <w:rPr>
          <w:b/>
          <w:sz w:val="28"/>
        </w:rPr>
        <w:t xml:space="preserve">British </w:t>
      </w:r>
      <w:r w:rsidR="00AE72FB" w:rsidRPr="002B6D72">
        <w:rPr>
          <w:b/>
          <w:sz w:val="28"/>
        </w:rPr>
        <w:t>Rowing Tour 20</w:t>
      </w:r>
      <w:r w:rsidR="00E01B74">
        <w:rPr>
          <w:b/>
          <w:sz w:val="28"/>
        </w:rPr>
        <w:t>22</w:t>
      </w:r>
    </w:p>
    <w:p w14:paraId="301A0BD5" w14:textId="77777777" w:rsidR="00AE72FB" w:rsidRPr="00883C39" w:rsidRDefault="00AE72FB">
      <w:pPr>
        <w:jc w:val="center"/>
        <w:rPr>
          <w:b/>
          <w:sz w:val="22"/>
          <w:szCs w:val="22"/>
        </w:rPr>
      </w:pPr>
    </w:p>
    <w:p w14:paraId="7244AB57" w14:textId="77777777" w:rsidR="0057432F" w:rsidRPr="002B6D72" w:rsidRDefault="0073066C">
      <w:pPr>
        <w:jc w:val="center"/>
        <w:rPr>
          <w:b/>
          <w:sz w:val="28"/>
        </w:rPr>
      </w:pPr>
      <w:r>
        <w:rPr>
          <w:b/>
          <w:sz w:val="28"/>
        </w:rPr>
        <w:t>The Great Ouse</w:t>
      </w:r>
    </w:p>
    <w:p w14:paraId="4F6E14F4" w14:textId="77777777" w:rsidR="00AE72FB" w:rsidRPr="00883C39" w:rsidRDefault="00AE72FB">
      <w:pPr>
        <w:rPr>
          <w:sz w:val="22"/>
          <w:szCs w:val="22"/>
        </w:rPr>
      </w:pPr>
    </w:p>
    <w:p w14:paraId="4D26A14B" w14:textId="77777777" w:rsidR="00AE72FB" w:rsidRDefault="00AE72FB">
      <w:pPr>
        <w:pStyle w:val="Heading3"/>
        <w:jc w:val="center"/>
        <w:rPr>
          <w:b/>
        </w:rPr>
      </w:pPr>
      <w:r>
        <w:rPr>
          <w:b/>
        </w:rPr>
        <w:t>RISK ASSESSMENT</w:t>
      </w:r>
    </w:p>
    <w:p w14:paraId="5E068D1E" w14:textId="77777777" w:rsidR="00AE72FB" w:rsidRDefault="00AE72FB"/>
    <w:p w14:paraId="3C608DB1" w14:textId="77777777" w:rsidR="00AE72FB" w:rsidRPr="002B6D72" w:rsidRDefault="00AE72FB">
      <w:pPr>
        <w:pStyle w:val="Heading4"/>
        <w:rPr>
          <w:sz w:val="22"/>
          <w:szCs w:val="22"/>
        </w:rPr>
      </w:pPr>
      <w:r w:rsidRPr="002B6D72">
        <w:rPr>
          <w:sz w:val="22"/>
          <w:szCs w:val="22"/>
        </w:rPr>
        <w:t>Description of Event</w:t>
      </w:r>
    </w:p>
    <w:p w14:paraId="5F289850" w14:textId="77777777" w:rsidR="00AE72FB" w:rsidRPr="002B6D72" w:rsidRDefault="00AE72FB">
      <w:pPr>
        <w:rPr>
          <w:b/>
          <w:sz w:val="22"/>
          <w:szCs w:val="22"/>
          <w:u w:val="single"/>
        </w:rPr>
      </w:pPr>
    </w:p>
    <w:p w14:paraId="33682D2C" w14:textId="1B3D2129" w:rsidR="0073066C" w:rsidRDefault="00AE72FB">
      <w:pPr>
        <w:rPr>
          <w:sz w:val="22"/>
          <w:szCs w:val="22"/>
        </w:rPr>
      </w:pPr>
      <w:r w:rsidRPr="002B6D72">
        <w:rPr>
          <w:sz w:val="22"/>
          <w:szCs w:val="22"/>
        </w:rPr>
        <w:t xml:space="preserve">The </w:t>
      </w:r>
      <w:r w:rsidR="009E1ADA" w:rsidRPr="002B6D72">
        <w:rPr>
          <w:sz w:val="22"/>
          <w:szCs w:val="22"/>
        </w:rPr>
        <w:t>British Rowing</w:t>
      </w:r>
      <w:r w:rsidRPr="002B6D72">
        <w:rPr>
          <w:sz w:val="22"/>
          <w:szCs w:val="22"/>
        </w:rPr>
        <w:t xml:space="preserve"> R</w:t>
      </w:r>
      <w:r w:rsidR="008D58B3" w:rsidRPr="002B6D72">
        <w:rPr>
          <w:sz w:val="22"/>
          <w:szCs w:val="22"/>
        </w:rPr>
        <w:t>ecreational Rowing Tour for 20</w:t>
      </w:r>
      <w:r w:rsidR="00E01B74">
        <w:rPr>
          <w:sz w:val="22"/>
          <w:szCs w:val="22"/>
        </w:rPr>
        <w:t>22</w:t>
      </w:r>
      <w:r w:rsidRPr="002B6D72">
        <w:rPr>
          <w:sz w:val="22"/>
          <w:szCs w:val="22"/>
        </w:rPr>
        <w:t xml:space="preserve"> is planned to take place between</w:t>
      </w:r>
      <w:r w:rsidR="0057432F" w:rsidRPr="002B6D72">
        <w:rPr>
          <w:sz w:val="22"/>
          <w:szCs w:val="22"/>
        </w:rPr>
        <w:t xml:space="preserve"> </w:t>
      </w:r>
      <w:r w:rsidR="00E01B74">
        <w:rPr>
          <w:sz w:val="22"/>
          <w:szCs w:val="22"/>
        </w:rPr>
        <w:t>9</w:t>
      </w:r>
      <w:r w:rsidR="00E01B74" w:rsidRPr="00E01B74">
        <w:rPr>
          <w:sz w:val="22"/>
          <w:szCs w:val="22"/>
          <w:vertAlign w:val="superscript"/>
        </w:rPr>
        <w:t>th</w:t>
      </w:r>
      <w:r w:rsidR="00E01B74">
        <w:rPr>
          <w:sz w:val="22"/>
          <w:szCs w:val="22"/>
        </w:rPr>
        <w:t xml:space="preserve"> – 11</w:t>
      </w:r>
      <w:r w:rsidR="00E01B74" w:rsidRPr="00E01B74">
        <w:rPr>
          <w:sz w:val="22"/>
          <w:szCs w:val="22"/>
          <w:vertAlign w:val="superscript"/>
        </w:rPr>
        <w:t>th</w:t>
      </w:r>
      <w:r w:rsidR="00E01B74">
        <w:rPr>
          <w:sz w:val="22"/>
          <w:szCs w:val="22"/>
        </w:rPr>
        <w:t xml:space="preserve"> </w:t>
      </w:r>
      <w:r w:rsidR="0073066C">
        <w:rPr>
          <w:sz w:val="22"/>
          <w:szCs w:val="22"/>
        </w:rPr>
        <w:t xml:space="preserve"> </w:t>
      </w:r>
      <w:r w:rsidR="00AF7DFA" w:rsidRPr="002B6D72">
        <w:rPr>
          <w:sz w:val="22"/>
          <w:szCs w:val="22"/>
        </w:rPr>
        <w:t xml:space="preserve"> </w:t>
      </w:r>
      <w:r w:rsidR="008D58B3" w:rsidRPr="002B6D72">
        <w:rPr>
          <w:sz w:val="22"/>
          <w:szCs w:val="22"/>
        </w:rPr>
        <w:t>September</w:t>
      </w:r>
      <w:r w:rsidRPr="002B6D72">
        <w:rPr>
          <w:sz w:val="22"/>
          <w:szCs w:val="22"/>
        </w:rPr>
        <w:t xml:space="preserve">. The </w:t>
      </w:r>
      <w:r w:rsidR="0073066C">
        <w:rPr>
          <w:sz w:val="22"/>
          <w:szCs w:val="22"/>
        </w:rPr>
        <w:t>outline itinerary is:</w:t>
      </w:r>
    </w:p>
    <w:p w14:paraId="3E99D158" w14:textId="77777777" w:rsidR="0073066C" w:rsidRDefault="0073066C" w:rsidP="0073066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 Neots RC to St Ives lock (Jones Boatyard) via Huntingdon BC</w:t>
      </w:r>
    </w:p>
    <w:p w14:paraId="2E00E713" w14:textId="77777777" w:rsidR="0073066C" w:rsidRDefault="0073066C" w:rsidP="0073066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 Ives lock to Isle of Ely RC </w:t>
      </w:r>
    </w:p>
    <w:p w14:paraId="73AD9007" w14:textId="77777777" w:rsidR="0073066C" w:rsidRDefault="0073066C" w:rsidP="0073066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Isle of Ely RC to West Norfolk RC (Denver Sluice)</w:t>
      </w:r>
    </w:p>
    <w:p w14:paraId="647B4B5C" w14:textId="77777777" w:rsidR="00AE72FB" w:rsidRPr="002B6D72" w:rsidRDefault="00AE72FB" w:rsidP="0073066C">
      <w:pPr>
        <w:rPr>
          <w:sz w:val="22"/>
          <w:szCs w:val="22"/>
        </w:rPr>
      </w:pPr>
      <w:r w:rsidRPr="002B6D72">
        <w:rPr>
          <w:sz w:val="22"/>
          <w:szCs w:val="22"/>
        </w:rPr>
        <w:t xml:space="preserve"> </w:t>
      </w:r>
    </w:p>
    <w:p w14:paraId="6906FB23" w14:textId="77777777" w:rsidR="00AE72FB" w:rsidRPr="002B6D72" w:rsidRDefault="00F72A7A">
      <w:pPr>
        <w:ind w:right="-199"/>
        <w:rPr>
          <w:sz w:val="22"/>
          <w:szCs w:val="22"/>
        </w:rPr>
      </w:pPr>
      <w:r w:rsidRPr="002B6D72">
        <w:rPr>
          <w:sz w:val="22"/>
          <w:szCs w:val="22"/>
        </w:rPr>
        <w:t>There</w:t>
      </w:r>
      <w:r w:rsidR="00AE72FB" w:rsidRPr="002B6D72">
        <w:rPr>
          <w:sz w:val="22"/>
          <w:szCs w:val="22"/>
        </w:rPr>
        <w:t xml:space="preserve"> will be a total of </w:t>
      </w:r>
      <w:r w:rsidRPr="002B6D72">
        <w:rPr>
          <w:sz w:val="22"/>
          <w:szCs w:val="22"/>
        </w:rPr>
        <w:t xml:space="preserve">approx </w:t>
      </w:r>
      <w:r w:rsidR="0073066C">
        <w:rPr>
          <w:sz w:val="22"/>
          <w:szCs w:val="22"/>
        </w:rPr>
        <w:t>70</w:t>
      </w:r>
      <w:r w:rsidR="00AE72FB" w:rsidRPr="002B6D72">
        <w:rPr>
          <w:sz w:val="22"/>
          <w:szCs w:val="22"/>
        </w:rPr>
        <w:t xml:space="preserve"> participants who are veteran oarsmen and women ranging in age from mid</w:t>
      </w:r>
      <w:r w:rsidR="009E1ADA" w:rsidRPr="002B6D72">
        <w:rPr>
          <w:sz w:val="22"/>
          <w:szCs w:val="22"/>
        </w:rPr>
        <w:t xml:space="preserve"> thirties to late seventies. </w:t>
      </w:r>
      <w:r w:rsidR="00AF7DFA" w:rsidRPr="002B6D72">
        <w:rPr>
          <w:sz w:val="22"/>
          <w:szCs w:val="22"/>
        </w:rPr>
        <w:t xml:space="preserve">All are experienced. </w:t>
      </w:r>
      <w:r w:rsidR="009E1ADA" w:rsidRPr="002B6D72">
        <w:rPr>
          <w:sz w:val="22"/>
          <w:szCs w:val="22"/>
        </w:rPr>
        <w:t>British Rowing</w:t>
      </w:r>
      <w:r w:rsidR="00AE72FB" w:rsidRPr="002B6D72">
        <w:rPr>
          <w:sz w:val="22"/>
          <w:szCs w:val="22"/>
        </w:rPr>
        <w:t xml:space="preserve"> membership is a requirement for the event.</w:t>
      </w:r>
      <w:r w:rsidR="00AF7DFA" w:rsidRPr="002B6D72">
        <w:rPr>
          <w:sz w:val="22"/>
          <w:szCs w:val="22"/>
        </w:rPr>
        <w:t xml:space="preserve"> </w:t>
      </w:r>
    </w:p>
    <w:p w14:paraId="4BDD4B13" w14:textId="77777777" w:rsidR="00AE72FB" w:rsidRPr="002B6D72" w:rsidRDefault="00AE72FB">
      <w:pPr>
        <w:ind w:right="-199"/>
        <w:rPr>
          <w:sz w:val="22"/>
          <w:szCs w:val="22"/>
        </w:rPr>
      </w:pPr>
    </w:p>
    <w:p w14:paraId="0395FE2F" w14:textId="2D924D9E" w:rsidR="00AE72FB" w:rsidRPr="002B6D72" w:rsidRDefault="00AE72FB">
      <w:pPr>
        <w:ind w:right="-199"/>
        <w:rPr>
          <w:sz w:val="22"/>
          <w:szCs w:val="22"/>
        </w:rPr>
      </w:pPr>
      <w:r w:rsidRPr="002B6D72">
        <w:rPr>
          <w:sz w:val="22"/>
          <w:szCs w:val="22"/>
        </w:rPr>
        <w:t xml:space="preserve">Boat types </w:t>
      </w:r>
      <w:r w:rsidR="00F72A7A" w:rsidRPr="002B6D72">
        <w:rPr>
          <w:sz w:val="22"/>
          <w:szCs w:val="22"/>
        </w:rPr>
        <w:t>will</w:t>
      </w:r>
      <w:r w:rsidRPr="002B6D72">
        <w:rPr>
          <w:sz w:val="22"/>
          <w:szCs w:val="22"/>
        </w:rPr>
        <w:t xml:space="preserve"> be </w:t>
      </w:r>
      <w:r w:rsidR="00466AF2" w:rsidRPr="002B6D72">
        <w:rPr>
          <w:sz w:val="22"/>
          <w:szCs w:val="22"/>
        </w:rPr>
        <w:t xml:space="preserve">touring </w:t>
      </w:r>
      <w:r w:rsidR="00E01B74">
        <w:rPr>
          <w:sz w:val="22"/>
          <w:szCs w:val="22"/>
        </w:rPr>
        <w:t>coxed quads</w:t>
      </w:r>
      <w:r w:rsidR="00466AF2" w:rsidRPr="002B6D72">
        <w:rPr>
          <w:sz w:val="22"/>
          <w:szCs w:val="22"/>
        </w:rPr>
        <w:t xml:space="preserve"> (4x+</w:t>
      </w:r>
      <w:r w:rsidR="0057432F" w:rsidRPr="002B6D72">
        <w:rPr>
          <w:sz w:val="22"/>
          <w:szCs w:val="22"/>
        </w:rPr>
        <w:t xml:space="preserve">), </w:t>
      </w:r>
      <w:r w:rsidR="00E01B74">
        <w:rPr>
          <w:sz w:val="22"/>
          <w:szCs w:val="22"/>
        </w:rPr>
        <w:t>which a</w:t>
      </w:r>
      <w:r w:rsidRPr="002B6D72">
        <w:rPr>
          <w:sz w:val="22"/>
          <w:szCs w:val="22"/>
        </w:rPr>
        <w:t>re stable and buo</w:t>
      </w:r>
      <w:r w:rsidR="009E1ADA" w:rsidRPr="002B6D72">
        <w:rPr>
          <w:sz w:val="22"/>
          <w:szCs w:val="22"/>
        </w:rPr>
        <w:t>y</w:t>
      </w:r>
      <w:r w:rsidR="00A443E7" w:rsidRPr="002B6D72">
        <w:rPr>
          <w:sz w:val="22"/>
          <w:szCs w:val="22"/>
        </w:rPr>
        <w:t>ant with su</w:t>
      </w:r>
      <w:r w:rsidR="00F72A7A" w:rsidRPr="002B6D72">
        <w:rPr>
          <w:sz w:val="22"/>
          <w:szCs w:val="22"/>
        </w:rPr>
        <w:t>fficient</w:t>
      </w:r>
      <w:r w:rsidR="00A443E7" w:rsidRPr="002B6D72">
        <w:rPr>
          <w:sz w:val="22"/>
          <w:szCs w:val="22"/>
        </w:rPr>
        <w:t xml:space="preserve"> freeboard</w:t>
      </w:r>
      <w:r w:rsidR="00F72A7A" w:rsidRPr="002B6D72">
        <w:rPr>
          <w:sz w:val="22"/>
          <w:szCs w:val="22"/>
        </w:rPr>
        <w:t xml:space="preserve"> </w:t>
      </w:r>
      <w:r w:rsidR="00CE5706">
        <w:rPr>
          <w:sz w:val="22"/>
          <w:szCs w:val="22"/>
        </w:rPr>
        <w:t>for expected</w:t>
      </w:r>
      <w:r w:rsidR="00F72A7A" w:rsidRPr="002B6D72">
        <w:rPr>
          <w:sz w:val="22"/>
          <w:szCs w:val="22"/>
        </w:rPr>
        <w:t xml:space="preserve"> conditions</w:t>
      </w:r>
      <w:r w:rsidR="00A443E7" w:rsidRPr="002B6D72">
        <w:rPr>
          <w:sz w:val="22"/>
          <w:szCs w:val="22"/>
        </w:rPr>
        <w:t>.</w:t>
      </w:r>
    </w:p>
    <w:p w14:paraId="2C45023B" w14:textId="77777777" w:rsidR="00AE72FB" w:rsidRPr="002B6D72" w:rsidRDefault="00AE72FB">
      <w:pPr>
        <w:ind w:right="-199"/>
        <w:rPr>
          <w:sz w:val="22"/>
          <w:szCs w:val="22"/>
        </w:rPr>
      </w:pPr>
    </w:p>
    <w:p w14:paraId="6E734AE7" w14:textId="77777777" w:rsidR="002B6D72" w:rsidRPr="002B6D72" w:rsidRDefault="009E1ADA">
      <w:pPr>
        <w:ind w:right="-199"/>
        <w:rPr>
          <w:sz w:val="22"/>
          <w:szCs w:val="22"/>
        </w:rPr>
      </w:pPr>
      <w:r w:rsidRPr="002B6D72">
        <w:rPr>
          <w:sz w:val="22"/>
          <w:szCs w:val="22"/>
        </w:rPr>
        <w:t>British Rowing</w:t>
      </w:r>
      <w:r w:rsidR="00255D8D">
        <w:rPr>
          <w:sz w:val="22"/>
          <w:szCs w:val="22"/>
        </w:rPr>
        <w:t xml:space="preserve"> </w:t>
      </w:r>
      <w:r w:rsidRPr="002B6D72">
        <w:rPr>
          <w:sz w:val="22"/>
          <w:szCs w:val="22"/>
        </w:rPr>
        <w:t>“Row Safe”</w:t>
      </w:r>
      <w:r w:rsidR="00201806" w:rsidRPr="002B6D72">
        <w:rPr>
          <w:sz w:val="22"/>
          <w:szCs w:val="22"/>
        </w:rPr>
        <w:t xml:space="preserve"> </w:t>
      </w:r>
      <w:r w:rsidR="00BF5241">
        <w:rPr>
          <w:sz w:val="22"/>
          <w:szCs w:val="22"/>
        </w:rPr>
        <w:t>guidance for Touring Rowing</w:t>
      </w:r>
      <w:r w:rsidR="00201806" w:rsidRPr="002B6D72">
        <w:rPr>
          <w:sz w:val="22"/>
          <w:szCs w:val="22"/>
        </w:rPr>
        <w:t xml:space="preserve"> </w:t>
      </w:r>
      <w:r w:rsidRPr="002B6D72">
        <w:rPr>
          <w:sz w:val="22"/>
          <w:szCs w:val="22"/>
        </w:rPr>
        <w:t>will be adhered to</w:t>
      </w:r>
      <w:r w:rsidR="002B6D72">
        <w:rPr>
          <w:sz w:val="22"/>
          <w:szCs w:val="22"/>
        </w:rPr>
        <w:t>.</w:t>
      </w:r>
    </w:p>
    <w:p w14:paraId="580D65F8" w14:textId="77777777" w:rsidR="00AE72FB" w:rsidRPr="002B6D72" w:rsidRDefault="00A443E7">
      <w:pPr>
        <w:ind w:right="-199"/>
        <w:rPr>
          <w:sz w:val="22"/>
          <w:szCs w:val="22"/>
        </w:rPr>
      </w:pPr>
      <w:r w:rsidRPr="002B6D72">
        <w:rPr>
          <w:sz w:val="22"/>
          <w:szCs w:val="22"/>
        </w:rPr>
        <w:t xml:space="preserve"> </w:t>
      </w:r>
    </w:p>
    <w:p w14:paraId="150DC439" w14:textId="77777777" w:rsidR="00AE72FB" w:rsidRPr="002B6D72" w:rsidRDefault="00AE72FB">
      <w:pPr>
        <w:pStyle w:val="Heading5"/>
        <w:rPr>
          <w:sz w:val="22"/>
          <w:szCs w:val="22"/>
        </w:rPr>
      </w:pPr>
      <w:r w:rsidRPr="002B6D72">
        <w:rPr>
          <w:sz w:val="22"/>
          <w:szCs w:val="22"/>
        </w:rPr>
        <w:t>Water conditions</w:t>
      </w:r>
    </w:p>
    <w:p w14:paraId="4C2D6C1D" w14:textId="77777777" w:rsidR="00E2152F" w:rsidRPr="002B6D72" w:rsidRDefault="00E2152F">
      <w:pPr>
        <w:ind w:right="-199"/>
        <w:rPr>
          <w:sz w:val="22"/>
          <w:szCs w:val="22"/>
        </w:rPr>
      </w:pPr>
    </w:p>
    <w:p w14:paraId="0599713A" w14:textId="77777777" w:rsidR="000F7DA4" w:rsidRPr="002B6D72" w:rsidRDefault="00466AF2">
      <w:pPr>
        <w:ind w:right="-199"/>
        <w:rPr>
          <w:sz w:val="22"/>
          <w:szCs w:val="22"/>
        </w:rPr>
      </w:pPr>
      <w:r w:rsidRPr="002B6D72">
        <w:rPr>
          <w:sz w:val="22"/>
          <w:szCs w:val="22"/>
        </w:rPr>
        <w:t xml:space="preserve">The </w:t>
      </w:r>
      <w:r w:rsidR="0073066C">
        <w:rPr>
          <w:sz w:val="22"/>
          <w:szCs w:val="22"/>
        </w:rPr>
        <w:t>Great Ouse is</w:t>
      </w:r>
      <w:r w:rsidR="00E2152F" w:rsidRPr="002B6D72">
        <w:rPr>
          <w:sz w:val="22"/>
          <w:szCs w:val="22"/>
        </w:rPr>
        <w:t xml:space="preserve"> considered un</w:t>
      </w:r>
      <w:r w:rsidR="00883C39">
        <w:rPr>
          <w:sz w:val="22"/>
          <w:szCs w:val="22"/>
        </w:rPr>
        <w:t>likely to suffer rough water</w:t>
      </w:r>
      <w:r w:rsidR="00E2152F" w:rsidRPr="002B6D72">
        <w:rPr>
          <w:sz w:val="22"/>
          <w:szCs w:val="22"/>
        </w:rPr>
        <w:t xml:space="preserve"> conditions </w:t>
      </w:r>
      <w:r w:rsidR="00883C39">
        <w:rPr>
          <w:sz w:val="22"/>
          <w:szCs w:val="22"/>
        </w:rPr>
        <w:t>beyond the capabilities of the boats used. Account</w:t>
      </w:r>
      <w:r w:rsidR="00E2152F" w:rsidRPr="002B6D72">
        <w:rPr>
          <w:sz w:val="22"/>
          <w:szCs w:val="22"/>
        </w:rPr>
        <w:t xml:space="preserve"> </w:t>
      </w:r>
      <w:r w:rsidR="00883C39">
        <w:rPr>
          <w:sz w:val="22"/>
          <w:szCs w:val="22"/>
        </w:rPr>
        <w:t xml:space="preserve">will be taken of any strong stream conditions that may arise due to heavy rain. Care </w:t>
      </w:r>
      <w:r w:rsidR="000819AB">
        <w:rPr>
          <w:sz w:val="22"/>
          <w:szCs w:val="22"/>
        </w:rPr>
        <w:t xml:space="preserve">is </w:t>
      </w:r>
      <w:r w:rsidR="00883C39">
        <w:rPr>
          <w:sz w:val="22"/>
          <w:szCs w:val="22"/>
        </w:rPr>
        <w:t xml:space="preserve">also </w:t>
      </w:r>
      <w:r w:rsidR="00E2152F" w:rsidRPr="002B6D72">
        <w:rPr>
          <w:sz w:val="22"/>
          <w:szCs w:val="22"/>
        </w:rPr>
        <w:t xml:space="preserve">needed </w:t>
      </w:r>
      <w:r w:rsidR="00883C39">
        <w:rPr>
          <w:sz w:val="22"/>
          <w:szCs w:val="22"/>
        </w:rPr>
        <w:t xml:space="preserve">with regard </w:t>
      </w:r>
      <w:r w:rsidR="00E2152F" w:rsidRPr="002B6D72">
        <w:rPr>
          <w:sz w:val="22"/>
          <w:szCs w:val="22"/>
        </w:rPr>
        <w:t>to other river traffic at narrow points such as</w:t>
      </w:r>
      <w:r w:rsidR="0073066C">
        <w:rPr>
          <w:sz w:val="22"/>
          <w:szCs w:val="22"/>
        </w:rPr>
        <w:t xml:space="preserve"> approaches to locks and</w:t>
      </w:r>
      <w:r w:rsidR="00E2152F" w:rsidRPr="002B6D72">
        <w:rPr>
          <w:sz w:val="22"/>
          <w:szCs w:val="22"/>
        </w:rPr>
        <w:t xml:space="preserve"> bridges.</w:t>
      </w:r>
      <w:r w:rsidRPr="002B6D72">
        <w:rPr>
          <w:sz w:val="22"/>
          <w:szCs w:val="22"/>
        </w:rPr>
        <w:t xml:space="preserve"> </w:t>
      </w:r>
    </w:p>
    <w:p w14:paraId="6A9965A1" w14:textId="77777777" w:rsidR="008D58B3" w:rsidRPr="002B6D72" w:rsidRDefault="008D58B3" w:rsidP="008D58B3">
      <w:pPr>
        <w:rPr>
          <w:sz w:val="22"/>
          <w:szCs w:val="22"/>
        </w:rPr>
      </w:pPr>
    </w:p>
    <w:p w14:paraId="19DCCE19" w14:textId="77777777" w:rsidR="00AE72FB" w:rsidRPr="002B6D72" w:rsidRDefault="00AE72FB">
      <w:pPr>
        <w:pStyle w:val="Heading5"/>
        <w:rPr>
          <w:sz w:val="22"/>
          <w:szCs w:val="22"/>
        </w:rPr>
      </w:pPr>
      <w:r w:rsidRPr="002B6D72">
        <w:rPr>
          <w:sz w:val="22"/>
          <w:szCs w:val="22"/>
        </w:rPr>
        <w:t>Assessment Methodology</w:t>
      </w:r>
    </w:p>
    <w:p w14:paraId="46DB4B2E" w14:textId="77777777" w:rsidR="00AE72FB" w:rsidRPr="002B6D72" w:rsidRDefault="00AE72FB">
      <w:pPr>
        <w:ind w:right="-199"/>
        <w:rPr>
          <w:b/>
          <w:sz w:val="22"/>
          <w:szCs w:val="22"/>
          <w:u w:val="single"/>
        </w:rPr>
      </w:pPr>
    </w:p>
    <w:p w14:paraId="65E00318" w14:textId="77777777" w:rsidR="00AE72FB" w:rsidRPr="002B6D72" w:rsidRDefault="00AE72FB">
      <w:pPr>
        <w:pStyle w:val="BodyText"/>
        <w:rPr>
          <w:sz w:val="22"/>
          <w:szCs w:val="22"/>
        </w:rPr>
      </w:pPr>
      <w:r w:rsidRPr="002B6D72">
        <w:rPr>
          <w:sz w:val="22"/>
          <w:szCs w:val="22"/>
        </w:rPr>
        <w:t>Hazards have been considered based on the nature of the event and expected conditions. Risks have been assessed using the classification table below:</w:t>
      </w:r>
    </w:p>
    <w:p w14:paraId="5DE39253" w14:textId="77777777" w:rsidR="00AE72FB" w:rsidRDefault="00AE72FB">
      <w:pPr>
        <w:ind w:right="-199"/>
      </w:pPr>
    </w:p>
    <w:tbl>
      <w:tblPr>
        <w:tblW w:w="0" w:type="auto"/>
        <w:tblInd w:w="14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1276"/>
        <w:gridCol w:w="1134"/>
      </w:tblGrid>
      <w:tr w:rsidR="00AE72FB" w14:paraId="2382BA3A" w14:textId="77777777">
        <w:trPr>
          <w:trHeight w:val="31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1557D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RISK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E9865B" w14:textId="77777777" w:rsidR="00AE72FB" w:rsidRPr="002B6D72" w:rsidRDefault="00AE72FB">
            <w:pPr>
              <w:pStyle w:val="Heading6"/>
              <w:rPr>
                <w:sz w:val="22"/>
                <w:szCs w:val="22"/>
              </w:rPr>
            </w:pPr>
            <w:r w:rsidRPr="002B6D72">
              <w:rPr>
                <w:sz w:val="22"/>
                <w:szCs w:val="22"/>
              </w:rPr>
              <w:t>SEVERITY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5D44B45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8535C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AE72FB" w14:paraId="41087B0E" w14:textId="77777777">
        <w:trPr>
          <w:trHeight w:val="31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F19AF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PROBABILITY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94DE0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Low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D7B84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Medium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85B6E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High</w:t>
            </w:r>
          </w:p>
        </w:tc>
      </w:tr>
      <w:tr w:rsidR="00AE72FB" w14:paraId="27AE45C9" w14:textId="77777777" w:rsidTr="00563699">
        <w:trPr>
          <w:trHeight w:val="31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597BB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Unlikely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3D7AE45C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2E9767FA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FC000"/>
          </w:tcPr>
          <w:p w14:paraId="017CB166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AE72FB" w14:paraId="679222A8" w14:textId="77777777" w:rsidTr="00563699">
        <w:trPr>
          <w:trHeight w:val="31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7FE8B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Fairly Likely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24AD0DA0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1DF07D4E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FF0000" w:fill="auto"/>
          </w:tcPr>
          <w:p w14:paraId="2E03EC6F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AE72FB" w14:paraId="296C9D86" w14:textId="77777777" w:rsidTr="00563699">
        <w:trPr>
          <w:trHeight w:val="31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87A0B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Very Likely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FFC000"/>
          </w:tcPr>
          <w:p w14:paraId="337EF13B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0000" w:fill="auto"/>
          </w:tcPr>
          <w:p w14:paraId="27F93A61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solid" w:color="FF0000" w:fill="auto"/>
          </w:tcPr>
          <w:p w14:paraId="1F415BD4" w14:textId="77777777" w:rsidR="00AE72FB" w:rsidRPr="002B6D72" w:rsidRDefault="00AE72F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B6D72"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</w:tbl>
    <w:p w14:paraId="46E3D86C" w14:textId="77777777" w:rsidR="00AE72FB" w:rsidRDefault="00AE72FB">
      <w:pPr>
        <w:ind w:right="-199"/>
      </w:pPr>
    </w:p>
    <w:p w14:paraId="2DF290A9" w14:textId="77777777" w:rsidR="00AE72FB" w:rsidRPr="002B6D72" w:rsidRDefault="00AE72FB">
      <w:pPr>
        <w:ind w:right="-199"/>
        <w:rPr>
          <w:sz w:val="22"/>
          <w:szCs w:val="22"/>
        </w:rPr>
      </w:pPr>
      <w:r w:rsidRPr="002B6D72">
        <w:rPr>
          <w:sz w:val="22"/>
          <w:szCs w:val="22"/>
        </w:rPr>
        <w:t>Risks scoring 1 or 2 are acceptable (green).</w:t>
      </w:r>
    </w:p>
    <w:p w14:paraId="4DA46CAD" w14:textId="77777777" w:rsidR="00AE72FB" w:rsidRPr="002B6D72" w:rsidRDefault="00AE72FB">
      <w:pPr>
        <w:ind w:right="-199"/>
        <w:rPr>
          <w:sz w:val="22"/>
          <w:szCs w:val="22"/>
        </w:rPr>
      </w:pPr>
      <w:r w:rsidRPr="002B6D72">
        <w:rPr>
          <w:sz w:val="22"/>
          <w:szCs w:val="22"/>
        </w:rPr>
        <w:t>Those with scores of 3 or 4 are acceptable with mitigation (yellow).</w:t>
      </w:r>
    </w:p>
    <w:p w14:paraId="37E9F50D" w14:textId="77777777" w:rsidR="00AE72FB" w:rsidRPr="002B6D72" w:rsidRDefault="00AE72FB">
      <w:pPr>
        <w:ind w:right="-199"/>
        <w:rPr>
          <w:sz w:val="22"/>
          <w:szCs w:val="22"/>
        </w:rPr>
      </w:pPr>
      <w:r w:rsidRPr="002B6D72">
        <w:rPr>
          <w:sz w:val="22"/>
          <w:szCs w:val="22"/>
        </w:rPr>
        <w:t>Any risks with scores of 6 or 9 are unacceptable and measures to reduce them to a lower category are needed (red).</w:t>
      </w:r>
    </w:p>
    <w:p w14:paraId="256AC326" w14:textId="77777777" w:rsidR="00AE72FB" w:rsidRPr="002B6D72" w:rsidRDefault="00AE72FB">
      <w:pPr>
        <w:ind w:right="-199"/>
        <w:rPr>
          <w:sz w:val="22"/>
          <w:szCs w:val="22"/>
        </w:rPr>
      </w:pPr>
    </w:p>
    <w:p w14:paraId="0BCD50F7" w14:textId="77777777" w:rsidR="00AE72FB" w:rsidRPr="002B6D72" w:rsidRDefault="00AE72FB">
      <w:pPr>
        <w:ind w:right="-199"/>
        <w:rPr>
          <w:sz w:val="22"/>
          <w:szCs w:val="22"/>
        </w:rPr>
      </w:pPr>
      <w:r w:rsidRPr="002B6D72">
        <w:rPr>
          <w:sz w:val="22"/>
          <w:szCs w:val="22"/>
        </w:rPr>
        <w:t>The assessment for the event is given in the attached table.</w:t>
      </w:r>
    </w:p>
    <w:sectPr w:rsidR="00AE72FB" w:rsidRPr="002B6D72" w:rsidSect="00825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4" w:right="1700" w:bottom="426" w:left="1800" w:header="284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079D" w14:textId="77777777" w:rsidR="00F10A9D" w:rsidRDefault="00F10A9D" w:rsidP="00201806">
      <w:r>
        <w:separator/>
      </w:r>
    </w:p>
  </w:endnote>
  <w:endnote w:type="continuationSeparator" w:id="0">
    <w:p w14:paraId="2354764C" w14:textId="77777777" w:rsidR="00F10A9D" w:rsidRDefault="00F10A9D" w:rsidP="002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2CBE" w14:textId="77777777" w:rsidR="00E01B74" w:rsidRDefault="00E01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CD10" w14:textId="5DE827E9" w:rsidR="00CC7C56" w:rsidRPr="00883C39" w:rsidRDefault="00CC7C56" w:rsidP="00883C39">
    <w:pPr>
      <w:pStyle w:val="Footer"/>
      <w:tabs>
        <w:tab w:val="clear" w:pos="4513"/>
        <w:tab w:val="clear" w:pos="9026"/>
        <w:tab w:val="left" w:pos="2340"/>
      </w:tabs>
      <w:jc w:val="right"/>
      <w:rPr>
        <w:sz w:val="20"/>
        <w:szCs w:val="20"/>
      </w:rPr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3BBE" w14:textId="77777777" w:rsidR="00E01B74" w:rsidRDefault="00E01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803E" w14:textId="77777777" w:rsidR="00F10A9D" w:rsidRDefault="00F10A9D" w:rsidP="00201806">
      <w:r>
        <w:separator/>
      </w:r>
    </w:p>
  </w:footnote>
  <w:footnote w:type="continuationSeparator" w:id="0">
    <w:p w14:paraId="51D18C67" w14:textId="77777777" w:rsidR="00F10A9D" w:rsidRDefault="00F10A9D" w:rsidP="00201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09D4" w14:textId="77777777" w:rsidR="00E01B74" w:rsidRDefault="00E01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F70C" w14:textId="77777777" w:rsidR="00201806" w:rsidRDefault="00201806" w:rsidP="00201806">
    <w:pPr>
      <w:pStyle w:val="Header"/>
      <w:tabs>
        <w:tab w:val="clear" w:pos="4513"/>
        <w:tab w:val="clear" w:pos="9026"/>
        <w:tab w:val="center" w:pos="4203"/>
        <w:tab w:val="right" w:pos="8406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9198" w14:textId="77777777" w:rsidR="00E01B74" w:rsidRDefault="00E01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D4961"/>
    <w:multiLevelType w:val="hybridMultilevel"/>
    <w:tmpl w:val="B6EE4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9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B3"/>
    <w:rsid w:val="00000499"/>
    <w:rsid w:val="00027938"/>
    <w:rsid w:val="00081496"/>
    <w:rsid w:val="000819AB"/>
    <w:rsid w:val="000F7DA4"/>
    <w:rsid w:val="001C1CE8"/>
    <w:rsid w:val="00201806"/>
    <w:rsid w:val="00255D8D"/>
    <w:rsid w:val="002B6D72"/>
    <w:rsid w:val="002C26CC"/>
    <w:rsid w:val="002F2B0A"/>
    <w:rsid w:val="003B113D"/>
    <w:rsid w:val="003E2F7D"/>
    <w:rsid w:val="004072D9"/>
    <w:rsid w:val="0044559C"/>
    <w:rsid w:val="00466AF2"/>
    <w:rsid w:val="004D5E3E"/>
    <w:rsid w:val="005268A1"/>
    <w:rsid w:val="00563699"/>
    <w:rsid w:val="0057432F"/>
    <w:rsid w:val="0070572E"/>
    <w:rsid w:val="0073066C"/>
    <w:rsid w:val="00773028"/>
    <w:rsid w:val="00825AA3"/>
    <w:rsid w:val="00883C39"/>
    <w:rsid w:val="008D58B3"/>
    <w:rsid w:val="009C5EB1"/>
    <w:rsid w:val="009E1ADA"/>
    <w:rsid w:val="009F2875"/>
    <w:rsid w:val="00A443E7"/>
    <w:rsid w:val="00A44F9D"/>
    <w:rsid w:val="00AE72FB"/>
    <w:rsid w:val="00AF7DFA"/>
    <w:rsid w:val="00B805AA"/>
    <w:rsid w:val="00BF5241"/>
    <w:rsid w:val="00CC7C56"/>
    <w:rsid w:val="00CE5706"/>
    <w:rsid w:val="00E01B74"/>
    <w:rsid w:val="00E2152F"/>
    <w:rsid w:val="00F10A9D"/>
    <w:rsid w:val="00F61AC4"/>
    <w:rsid w:val="00F7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E1FEF"/>
  <w15:docId w15:val="{4BC7AB13-F921-4A88-8C63-7D9C07EC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8A1"/>
    <w:rPr>
      <w:rFonts w:ascii="Arial" w:hAnsi="Arial" w:cs="Mangal"/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rsid w:val="005268A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268A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268A1"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5268A1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5268A1"/>
    <w:pPr>
      <w:keepNext/>
      <w:ind w:right="-199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5268A1"/>
    <w:pPr>
      <w:keepNext/>
      <w:outlineLvl w:val="5"/>
    </w:pPr>
    <w:rPr>
      <w:b/>
      <w:bCs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268A1"/>
    <w:pPr>
      <w:ind w:right="-199"/>
    </w:pPr>
  </w:style>
  <w:style w:type="paragraph" w:styleId="Header">
    <w:name w:val="header"/>
    <w:basedOn w:val="Normal"/>
    <w:link w:val="HeaderChar"/>
    <w:rsid w:val="00201806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link w:val="Header"/>
    <w:rsid w:val="00201806"/>
    <w:rPr>
      <w:rFonts w:ascii="Arial" w:hAnsi="Arial" w:cs="Mangal"/>
      <w:sz w:val="24"/>
      <w:szCs w:val="21"/>
      <w:lang w:bidi="hi-IN"/>
    </w:rPr>
  </w:style>
  <w:style w:type="paragraph" w:styleId="Footer">
    <w:name w:val="footer"/>
    <w:basedOn w:val="Normal"/>
    <w:link w:val="FooterChar"/>
    <w:rsid w:val="00201806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rsid w:val="00201806"/>
    <w:rPr>
      <w:rFonts w:ascii="Arial" w:hAnsi="Arial"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rsid w:val="00201806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rsid w:val="00201806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 Recreational Rowing Tour 2004</vt:lpstr>
    </vt:vector>
  </TitlesOfParts>
  <Company>NATS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Recreational Rowing Tour 2004</dc:title>
  <dc:subject/>
  <dc:creator>JATurnbull</dc:creator>
  <cp:keywords/>
  <cp:lastModifiedBy>Caroline Turnbull</cp:lastModifiedBy>
  <cp:revision>2</cp:revision>
  <cp:lastPrinted>2013-08-24T16:42:00Z</cp:lastPrinted>
  <dcterms:created xsi:type="dcterms:W3CDTF">2022-08-15T17:46:00Z</dcterms:created>
  <dcterms:modified xsi:type="dcterms:W3CDTF">2022-08-15T17:46:00Z</dcterms:modified>
</cp:coreProperties>
</file>